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contextualSpacing w:val="0"/>
        <w:ind w:left="0" w:right="0" w:firstLine="0"/>
        <w:jc w:val="center"/>
        <w:spacing w:before="0" w:after="300" w:line="28" w:lineRule="atLeast"/>
        <w:shd w:val="clear" w:color="ffffff" w:fill="ffffff"/>
        <w:rPr>
          <w:rFonts w:ascii="Times New Roman" w:hAnsi="Times New Roman" w:cs="Times New Roman"/>
          <w:b/>
          <w:bCs/>
          <w:sz w:val="36"/>
          <w:szCs w:val="36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</w:rPr>
        <w:t xml:space="preserve">В России действует новый порядок оказания медицинской помощи по профилю «акушерство и 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</w:rPr>
        <w:t xml:space="preserve">гинекология»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contextualSpacing w:val="0"/>
        <w:ind w:left="0" w:right="0" w:firstLine="540"/>
        <w:jc w:val="both"/>
        <w:spacing w:before="0" w:after="150" w:line="2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этом году вступил в действие новый Порядок оказания медицинской помощи по профилю «акушерство и гинекология».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 w:line="2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Ключевые изменения касаются этапности оказания помощи женщинам в период беременности и родов, диспансеризации для оценки репродуктивного здоровья женщин, работы с женщинами в ситуации репродуктивного выбора.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 w:line="2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Так, врачи женских консультаций теперь консультируют женщин и семьи, планирующие беременность, а также проводят мотивационное анкетирование и доабортные консультации.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 w:line="2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Усовершенствован порядок обследования беременных, проводится антенатальная оценка развития плода. Акушер‑гинеколог должен поставить беременную на учёт не позднее 14 дней после первичного обращения при сроке беременности 4-7 недель и не позднее 7 дней при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роке более 7 недель. Предусмотрены дополнительные консультации: при физиологическом течении беременности женщина должна пройти по два приёма у стоматолога и медицинского психолога. Введён третий пренатальный скрининг, позволяющий оценить состояние плода, 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ункционирование плаценты, объём околоплодных вод, а также выявить возможные отклонения и риски, которые могут возникнуть в течение третьего триместра. Также впервые введено неинвазивное пренатальное тестирование (анализ внеклеточной ДНК плода по крови мате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ри) для женщин из групп риска хромосомных аномалий за счёт ОМС.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 w:line="2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ранее патронаж был установлен только для новорождённых, то теперь предусмотрена возможность патронажа женщины на дому в послеродовом периоде, в том числе мобильными медицинскими бригадами, а также психологическая и социальная поддержка родильницам.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 w:line="2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Кроме того, прописаны правила оказания помощи женщинам после искусственного прерывания беременности, несовершеннолетним с гинекологическими заболеваниями, женщинам с ВИЧ‑инфекцией в период беременности, родов и в послеродовый период.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 w:line="2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целью профилактики абортов при проведении УЗИ органов малого таза у женщин, планирующих прерывание беременности до 12 недель без медицинских показаний, врачи обязаны демонстрировать изображение эмбриона и его сердцебиение (при наличии).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 w:line="2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«По итогам 2025 года из бюджета ТФОМС СК оплачено порядка 900 тысяч случаев оказания медицинской помощи женщинам Ставрополья по направлению «акушерство и гинекология» в поликлиниках и в условиях дневного и круглосуточного стационара – финансирование состав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ило более 4,2 млрд рублей. На текущий год на эти цели запланировано более 4,4 млрд рублей»,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– прокомментировала директор Территориального фонда обязательного медицинского страхования Ставропольского края Натела Павличенко.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 w:line="2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Период с 30 марта по 5 апреля минздравом России объявлен Неделей здоровья матери и ребёнка с целью информирования о правах женщин и детей на получение качественной и своевременной медицинской помощи по полису ОМС.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line="28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2</cp:revision>
  <dcterms:modified xsi:type="dcterms:W3CDTF">2026-04-03T08:49:11Z</dcterms:modified>
</cp:coreProperties>
</file>